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2D6DA">
      <w:pPr>
        <w:keepNext w:val="0"/>
        <w:keepLines w:val="0"/>
        <w:pageBreakBefore w:val="0"/>
        <w:widowControl w:val="0"/>
        <w:kinsoku/>
        <w:wordWrap/>
        <w:overflowPunct/>
        <w:topLinePunct w:val="0"/>
        <w:autoSpaceDE/>
        <w:autoSpaceDN/>
        <w:bidi w:val="0"/>
        <w:adjustRightInd/>
        <w:snapToGrid/>
        <w:spacing w:before="320" w:line="579" w:lineRule="exact"/>
        <w:jc w:val="left"/>
        <w:textAlignment w:val="auto"/>
        <w:outlineLvl w:val="1"/>
        <w:rPr>
          <w:rFonts w:hint="eastAsia" w:ascii="仿宋_GB2312" w:hAnsi="仿宋_GB2312" w:eastAsia="仿宋_GB2312" w:cs="仿宋_GB2312"/>
          <w:b/>
          <w:sz w:val="32"/>
          <w:szCs w:val="32"/>
        </w:rPr>
      </w:pPr>
      <w:bookmarkStart w:id="0" w:name="heading_16"/>
      <w:r>
        <w:rPr>
          <w:rFonts w:hint="eastAsia" w:ascii="仿宋_GB2312" w:hAnsi="仿宋_GB2312" w:eastAsia="仿宋_GB2312" w:cs="仿宋_GB2312"/>
          <w:b/>
          <w:sz w:val="32"/>
          <w:szCs w:val="32"/>
        </w:rPr>
        <w:t xml:space="preserve">附件1 </w:t>
      </w:r>
    </w:p>
    <w:bookmarkEnd w:id="0"/>
    <w:p w14:paraId="3E5D9821">
      <w:pPr>
        <w:pStyle w:val="3"/>
        <w:widowControl/>
        <w:spacing w:beforeAutospacing="0" w:afterAutospacing="0" w:line="579" w:lineRule="exact"/>
        <w:jc w:val="center"/>
        <w:rPr>
          <w:rFonts w:ascii="方正小标宋简体" w:hAnsi="方正小标宋简体" w:eastAsia="方正小标宋简体" w:cs="方正小标宋简体"/>
          <w:color w:val="000000"/>
          <w:sz w:val="44"/>
          <w:szCs w:val="44"/>
        </w:rPr>
      </w:pPr>
      <w:bookmarkStart w:id="1" w:name="heading_17"/>
      <w:r>
        <w:rPr>
          <w:rFonts w:hint="eastAsia" w:ascii="方正小标宋简体" w:hAnsi="方正小标宋简体" w:eastAsia="方正小标宋简体" w:cs="方正小标宋简体"/>
          <w:color w:val="000000"/>
          <w:sz w:val="44"/>
          <w:szCs w:val="44"/>
        </w:rPr>
        <w:t>比选响应承诺书</w:t>
      </w:r>
    </w:p>
    <w:p w14:paraId="49824743">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成都市卫生健康人才交流中心：</w:t>
      </w:r>
    </w:p>
    <w:p w14:paraId="13381813">
      <w:pPr>
        <w:keepNext w:val="0"/>
        <w:keepLines w:val="0"/>
        <w:pageBreakBefore w:val="0"/>
        <w:kinsoku/>
        <w:wordWrap/>
        <w:overflowPunct/>
        <w:topLinePunct w:val="0"/>
        <w:autoSpaceDE/>
        <w:autoSpaceDN/>
        <w:bidi w:val="0"/>
        <w:adjustRightInd/>
        <w:spacing w:line="540" w:lineRule="exact"/>
        <w:ind w:firstLine="640" w:firstLineChars="200"/>
        <w:jc w:val="left"/>
        <w:textAlignment w:val="auto"/>
        <w:rPr>
          <w:rFonts w:ascii="仿宋_GB2312" w:hAnsi="黑体" w:eastAsia="仿宋_GB2312"/>
          <w:bCs/>
          <w:color w:val="000000"/>
          <w:sz w:val="32"/>
          <w:szCs w:val="32"/>
        </w:rPr>
      </w:pPr>
      <w:r>
        <w:rPr>
          <w:rFonts w:hint="eastAsia" w:ascii="仿宋_GB2312" w:hAnsi="仿宋_GB2312" w:eastAsia="仿宋_GB2312" w:cs="仿宋_GB2312"/>
          <w:color w:val="333333"/>
          <w:sz w:val="32"/>
          <w:szCs w:val="32"/>
        </w:rPr>
        <w:t>根据贵方关于</w:t>
      </w:r>
      <w:r>
        <w:rPr>
          <w:rFonts w:hint="eastAsia" w:ascii="仿宋_GB2312" w:hAnsi="仿宋_GB2312" w:eastAsia="仿宋_GB2312" w:cs="仿宋_GB2312"/>
          <w:sz w:val="32"/>
          <w:szCs w:val="32"/>
        </w:rPr>
        <w:t>房屋渗漏维修</w:t>
      </w:r>
      <w:r>
        <w:rPr>
          <w:rFonts w:hint="eastAsia" w:ascii="仿宋_GB2312" w:hAnsi="仿宋_GB2312" w:eastAsia="仿宋_GB2312" w:cs="仿宋_GB2312"/>
          <w:color w:val="333333"/>
          <w:sz w:val="32"/>
          <w:szCs w:val="32"/>
          <w:lang w:eastAsia="zh-CN"/>
        </w:rPr>
        <w:t>造价咨询</w:t>
      </w:r>
      <w:r>
        <w:rPr>
          <w:rFonts w:hint="eastAsia" w:ascii="仿宋_GB2312" w:hAnsi="黑体" w:eastAsia="仿宋_GB2312"/>
          <w:bCs/>
          <w:color w:val="000000"/>
          <w:sz w:val="32"/>
          <w:szCs w:val="32"/>
        </w:rPr>
        <w:t>采购项目</w:t>
      </w:r>
      <w:r>
        <w:rPr>
          <w:rFonts w:hint="eastAsia" w:ascii="仿宋_GB2312" w:hAnsi="仿宋_GB2312" w:eastAsia="仿宋_GB2312" w:cs="仿宋_GB2312"/>
          <w:color w:val="333333"/>
          <w:sz w:val="32"/>
          <w:szCs w:val="32"/>
        </w:rPr>
        <w:t>要求，做出以下承诺：</w:t>
      </w:r>
    </w:p>
    <w:p w14:paraId="52C6C75B">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ind w:firstLine="640" w:firstLineChars="200"/>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1．完全满足采购公告中全部实质性要求，承诺具备本项目申请人应具备的所有资格条件。</w:t>
      </w:r>
    </w:p>
    <w:p w14:paraId="6932D1AE">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ind w:firstLine="640" w:firstLineChars="200"/>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2．提交的所有文件、资格、证明、陈述、数据均是真实的和准确的。若存在任何与提供的资料不符的情况，我们愿为由此产生的一切后果负责。</w:t>
      </w:r>
    </w:p>
    <w:p w14:paraId="4EE8727D">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ind w:firstLine="640" w:firstLineChars="200"/>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3．响应文件中资格证明文件资料、报价文件资料经密封，加盖单位公章和法定代表人签字后递交。</w:t>
      </w:r>
    </w:p>
    <w:p w14:paraId="1ECF077A">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ind w:firstLine="640" w:firstLineChars="200"/>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 保证遵守采购公告中的有关规定。</w:t>
      </w:r>
    </w:p>
    <w:p w14:paraId="771913FC">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ind w:firstLine="640" w:firstLineChars="200"/>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5．保证忠实地执行双方所签署的经济合同，并承担合同规定的责任义务。</w:t>
      </w:r>
    </w:p>
    <w:p w14:paraId="4D8E8D1C">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ind w:firstLine="640" w:firstLineChars="200"/>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6．我公司参加政府采购活动前三年内，在经营活动中没有重大违法记录；法定代表人及项目主要负责人无行贿犯罪记录。</w:t>
      </w:r>
    </w:p>
    <w:p w14:paraId="1835BAD1">
      <w:pPr>
        <w:pStyle w:val="3"/>
        <w:keepNext w:val="0"/>
        <w:keepLines w:val="0"/>
        <w:pageBreakBefore w:val="0"/>
        <w:widowControl/>
        <w:kinsoku/>
        <w:wordWrap/>
        <w:overflowPunct/>
        <w:topLinePunct w:val="0"/>
        <w:autoSpaceDE/>
        <w:autoSpaceDN/>
        <w:bidi w:val="0"/>
        <w:adjustRightInd/>
        <w:spacing w:before="0" w:beforeAutospacing="0" w:after="0" w:afterAutospacing="0" w:line="540" w:lineRule="exact"/>
        <w:ind w:firstLine="640" w:firstLineChars="200"/>
        <w:jc w:val="left"/>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7. 我们已详细审核全部采购公告、参考资料及有关附件，我们知道必须放弃提出含糊不清或误解问题的权利。</w:t>
      </w:r>
    </w:p>
    <w:p w14:paraId="5B77384F">
      <w:pPr>
        <w:keepNext w:val="0"/>
        <w:keepLines w:val="0"/>
        <w:pageBreakBefore w:val="0"/>
        <w:kinsoku/>
        <w:wordWrap/>
        <w:overflowPunct/>
        <w:topLinePunct w:val="0"/>
        <w:autoSpaceDE/>
        <w:autoSpaceDN/>
        <w:bidi w:val="0"/>
        <w:adjustRightInd/>
        <w:snapToGrid w:val="0"/>
        <w:spacing w:line="540" w:lineRule="exact"/>
        <w:ind w:firstLine="600" w:firstLineChars="200"/>
        <w:jc w:val="left"/>
        <w:textAlignment w:val="auto"/>
        <w:rPr>
          <w:rFonts w:hint="eastAsia" w:ascii="仿宋" w:hAnsi="仿宋" w:eastAsia="仿宋"/>
          <w:bCs/>
          <w:color w:val="000000"/>
          <w:sz w:val="30"/>
          <w:szCs w:val="30"/>
        </w:rPr>
      </w:pPr>
      <w:r>
        <w:rPr>
          <w:rFonts w:hint="eastAsia" w:ascii="仿宋" w:hAnsi="仿宋" w:eastAsia="仿宋"/>
          <w:bCs/>
          <w:color w:val="000000"/>
          <w:sz w:val="30"/>
          <w:szCs w:val="30"/>
        </w:rPr>
        <w:t>投标单位（盖章）：</w:t>
      </w:r>
    </w:p>
    <w:p w14:paraId="23126534">
      <w:pPr>
        <w:keepNext w:val="0"/>
        <w:keepLines w:val="0"/>
        <w:pageBreakBefore w:val="0"/>
        <w:kinsoku/>
        <w:wordWrap/>
        <w:overflowPunct/>
        <w:topLinePunct w:val="0"/>
        <w:autoSpaceDE/>
        <w:autoSpaceDN/>
        <w:bidi w:val="0"/>
        <w:adjustRightInd/>
        <w:snapToGrid w:val="0"/>
        <w:spacing w:line="540" w:lineRule="exact"/>
        <w:ind w:firstLine="600" w:firstLineChars="200"/>
        <w:jc w:val="left"/>
        <w:textAlignment w:val="auto"/>
        <w:rPr>
          <w:rFonts w:hint="eastAsia" w:ascii="仿宋" w:hAnsi="仿宋" w:eastAsia="仿宋"/>
          <w:bCs/>
          <w:color w:val="000000"/>
          <w:sz w:val="30"/>
          <w:szCs w:val="30"/>
        </w:rPr>
      </w:pPr>
      <w:r>
        <w:rPr>
          <w:rFonts w:hint="eastAsia" w:ascii="仿宋" w:hAnsi="仿宋" w:eastAsia="仿宋"/>
          <w:bCs/>
          <w:color w:val="000000"/>
          <w:sz w:val="30"/>
          <w:szCs w:val="30"/>
        </w:rPr>
        <w:t>法定代表人（签名） ：</w:t>
      </w:r>
    </w:p>
    <w:p w14:paraId="793D78C0">
      <w:pPr>
        <w:keepNext w:val="0"/>
        <w:keepLines w:val="0"/>
        <w:pageBreakBefore w:val="0"/>
        <w:kinsoku/>
        <w:wordWrap/>
        <w:overflowPunct/>
        <w:topLinePunct w:val="0"/>
        <w:autoSpaceDE/>
        <w:autoSpaceDN/>
        <w:bidi w:val="0"/>
        <w:adjustRightInd/>
        <w:snapToGrid w:val="0"/>
        <w:spacing w:line="540" w:lineRule="exact"/>
        <w:ind w:firstLine="600" w:firstLineChars="200"/>
        <w:jc w:val="left"/>
        <w:textAlignment w:val="auto"/>
        <w:rPr>
          <w:rFonts w:ascii="仿宋" w:hAnsi="仿宋" w:eastAsia="仿宋"/>
          <w:bCs/>
          <w:color w:val="000000"/>
          <w:sz w:val="30"/>
          <w:szCs w:val="30"/>
        </w:rPr>
      </w:pPr>
      <w:r>
        <w:rPr>
          <w:rFonts w:hint="eastAsia" w:ascii="仿宋" w:hAnsi="仿宋" w:eastAsia="仿宋"/>
          <w:bCs/>
          <w:color w:val="000000"/>
          <w:sz w:val="30"/>
          <w:szCs w:val="30"/>
        </w:rPr>
        <w:t xml:space="preserve">  年   月   日</w:t>
      </w:r>
    </w:p>
    <w:p w14:paraId="3141E91B">
      <w:pPr>
        <w:keepNext w:val="0"/>
        <w:keepLines w:val="0"/>
        <w:pageBreakBefore w:val="0"/>
        <w:widowControl w:val="0"/>
        <w:kinsoku/>
        <w:wordWrap/>
        <w:overflowPunct/>
        <w:topLinePunct w:val="0"/>
        <w:autoSpaceDE/>
        <w:autoSpaceDN/>
        <w:bidi w:val="0"/>
        <w:adjustRightInd/>
        <w:snapToGrid/>
        <w:spacing w:before="320" w:line="579" w:lineRule="exact"/>
        <w:jc w:val="left"/>
        <w:textAlignment w:val="auto"/>
        <w:outlineLvl w:val="1"/>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附件2 </w:t>
      </w:r>
    </w:p>
    <w:bookmarkEnd w:id="1"/>
    <w:p w14:paraId="3E5971CA">
      <w:pPr>
        <w:pStyle w:val="3"/>
        <w:keepNext w:val="0"/>
        <w:keepLines w:val="0"/>
        <w:pageBreakBefore w:val="0"/>
        <w:widowControl/>
        <w:suppressLineNumbers w:val="0"/>
        <w:kinsoku/>
        <w:wordWrap/>
        <w:overflowPunct/>
        <w:topLinePunct w:val="0"/>
        <w:autoSpaceDE/>
        <w:autoSpaceDN/>
        <w:bidi w:val="0"/>
        <w:adjustRightInd/>
        <w:snapToGrid/>
        <w:spacing w:line="579" w:lineRule="exact"/>
        <w:ind w:lef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bookmarkStart w:id="2" w:name="heading_18"/>
      <w:r>
        <w:rPr>
          <w:rFonts w:hint="eastAsia" w:ascii="方正小标宋简体" w:hAnsi="方正小标宋简体" w:eastAsia="方正小标宋简体" w:cs="方正小标宋简体"/>
          <w:i w:val="0"/>
          <w:iCs w:val="0"/>
          <w:caps w:val="0"/>
          <w:color w:val="000000"/>
          <w:spacing w:val="0"/>
          <w:sz w:val="44"/>
          <w:szCs w:val="44"/>
        </w:rPr>
        <w:t>反商业贿赂廉洁承诺书</w:t>
      </w:r>
    </w:p>
    <w:p w14:paraId="63B986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成都市卫生健康人才交流中心：</w:t>
      </w:r>
    </w:p>
    <w:p w14:paraId="02D99E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为净化采购环境，维护市场公平竞争，预防和遏制购销领域腐败行为，杜绝购销过程中的不正之风，我公司做出以下承诺:</w:t>
      </w:r>
    </w:p>
    <w:p w14:paraId="47617A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一、严格遵照相关法律法规、政策进行正当商业交往。</w:t>
      </w:r>
    </w:p>
    <w:p w14:paraId="75EF32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二、在参加贵单位采购过程中，不以任何形式给予单位及工作人员回扣、提成、红包等行为。</w:t>
      </w:r>
    </w:p>
    <w:p w14:paraId="4C595A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三、在本次采购过程中，不采取不正当手段获取商业机会或商业利益。</w:t>
      </w:r>
    </w:p>
    <w:p w14:paraId="1795AD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四、不向贵单位工作人员馈赠礼物、现金、有价证券及安排宴请、娱乐、旅游活动。</w:t>
      </w:r>
    </w:p>
    <w:p w14:paraId="633AC9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承诺公司委派的工作人员是我公司正式员工，其提交投标文件、咨询答疑等不属于个人行为，我公司对委派工作人员的行为负责并进行监督和管理，如出现上述行为，我公司愿意接受按照国家法律、法规等有关规定给予的处罚。</w:t>
      </w:r>
    </w:p>
    <w:p w14:paraId="208666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投标</w:t>
      </w:r>
      <w:r>
        <w:rPr>
          <w:rFonts w:hint="eastAsia" w:ascii="仿宋_GB2312" w:hAnsi="仿宋_GB2312" w:eastAsia="仿宋_GB2312" w:cs="仿宋_GB2312"/>
          <w:i w:val="0"/>
          <w:iCs w:val="0"/>
          <w:caps w:val="0"/>
          <w:color w:val="000000"/>
          <w:spacing w:val="0"/>
          <w:sz w:val="32"/>
          <w:szCs w:val="32"/>
          <w:lang w:eastAsia="zh-CN"/>
        </w:rPr>
        <w:t>单位</w:t>
      </w:r>
      <w:r>
        <w:rPr>
          <w:rFonts w:hint="eastAsia" w:ascii="仿宋_GB2312" w:hAnsi="仿宋_GB2312" w:eastAsia="仿宋_GB2312" w:cs="仿宋_GB2312"/>
          <w:i w:val="0"/>
          <w:iCs w:val="0"/>
          <w:caps w:val="0"/>
          <w:color w:val="000000"/>
          <w:spacing w:val="0"/>
          <w:sz w:val="32"/>
          <w:szCs w:val="32"/>
        </w:rPr>
        <w:t>（盖章）：</w:t>
      </w:r>
    </w:p>
    <w:p w14:paraId="17D04A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法定代表人</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签名</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w:t>
      </w:r>
    </w:p>
    <w:p w14:paraId="5052D6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黑体" w:hAnsi="黑体" w:eastAsia="仿宋_GB2312"/>
          <w:bCs/>
          <w:color w:val="000000"/>
          <w:sz w:val="32"/>
          <w:szCs w:val="32"/>
          <w:lang w:eastAsia="zh-CN"/>
        </w:rPr>
        <w:sectPr>
          <w:footerReference r:id="rId3" w:type="default"/>
          <w:pgSz w:w="11906" w:h="16838"/>
          <w:pgMar w:top="2098" w:right="1474" w:bottom="1984" w:left="1587" w:header="851" w:footer="992" w:gutter="0"/>
          <w:pgNumType w:fmt="decimal"/>
          <w:cols w:space="720" w:num="1"/>
          <w:docGrid w:type="lines" w:linePitch="312" w:charSpace="0"/>
        </w:sectPr>
      </w:pPr>
      <w:r>
        <w:rPr>
          <w:rFonts w:hint="eastAsia" w:ascii="仿宋_GB2312" w:hAnsi="仿宋_GB2312" w:eastAsia="仿宋_GB2312" w:cs="仿宋_GB2312"/>
          <w:i w:val="0"/>
          <w:iCs w:val="0"/>
          <w:caps w:val="0"/>
          <w:color w:val="000000"/>
          <w:spacing w:val="0"/>
          <w:sz w:val="32"/>
          <w:szCs w:val="32"/>
        </w:rPr>
        <w:t>年 月 日</w:t>
      </w:r>
    </w:p>
    <w:p w14:paraId="320DF7DD">
      <w:pPr>
        <w:spacing w:before="320" w:after="120" w:line="288" w:lineRule="auto"/>
        <w:ind w:left="0"/>
        <w:jc w:val="left"/>
        <w:outlineLvl w:val="1"/>
        <w:rPr>
          <w:rFonts w:ascii="Arial" w:hAnsi="Arial" w:eastAsia="等线" w:cs="Arial"/>
          <w:b/>
          <w:sz w:val="32"/>
        </w:rPr>
      </w:pPr>
      <w:r>
        <w:rPr>
          <w:rFonts w:ascii="Arial" w:hAnsi="Arial" w:eastAsia="等线" w:cs="Arial"/>
          <w:b/>
          <w:sz w:val="32"/>
        </w:rPr>
        <w:t>附件3</w:t>
      </w:r>
    </w:p>
    <w:bookmarkEnd w:id="2"/>
    <w:p w14:paraId="636E4916">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黑体" w:hAnsi="黑体" w:eastAsia="黑体" w:cs="黑体"/>
          <w:color w:val="000000"/>
          <w:sz w:val="32"/>
          <w:szCs w:val="32"/>
          <w:lang w:val="en-US" w:eastAsia="zh-CN"/>
        </w:rPr>
      </w:pPr>
      <w:bookmarkStart w:id="3" w:name="heading_19"/>
    </w:p>
    <w:p w14:paraId="512B554B">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报价单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1"/>
        <w:gridCol w:w="3195"/>
        <w:gridCol w:w="2104"/>
      </w:tblGrid>
      <w:tr w14:paraId="0DFF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2" w:type="dxa"/>
            <w:noWrap w:val="0"/>
            <w:vAlign w:val="top"/>
          </w:tcPr>
          <w:p w14:paraId="0A21707C">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000000"/>
                <w:sz w:val="32"/>
                <w:szCs w:val="32"/>
                <w:vertAlign w:val="baseline"/>
                <w:lang w:val="en-US" w:eastAsia="zh-CN"/>
              </w:rPr>
            </w:pPr>
            <w:r>
              <w:rPr>
                <w:rFonts w:hint="eastAsia" w:ascii="方正小标宋简体" w:hAnsi="方正小标宋简体" w:eastAsia="方正小标宋简体" w:cs="方正小标宋简体"/>
                <w:color w:val="000000"/>
                <w:sz w:val="32"/>
                <w:szCs w:val="32"/>
                <w:vertAlign w:val="baseline"/>
                <w:lang w:val="en-US" w:eastAsia="zh-CN"/>
              </w:rPr>
              <w:t>项目名称</w:t>
            </w:r>
          </w:p>
        </w:tc>
        <w:tc>
          <w:tcPr>
            <w:tcW w:w="3195" w:type="dxa"/>
            <w:noWrap w:val="0"/>
            <w:vAlign w:val="top"/>
          </w:tcPr>
          <w:p w14:paraId="5F77E98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000000"/>
                <w:sz w:val="32"/>
                <w:szCs w:val="32"/>
                <w:vertAlign w:val="baseline"/>
                <w:lang w:val="en-US" w:eastAsia="zh-CN"/>
              </w:rPr>
            </w:pPr>
            <w:r>
              <w:rPr>
                <w:rFonts w:hint="eastAsia" w:ascii="方正小标宋简体" w:hAnsi="方正小标宋简体" w:eastAsia="方正小标宋简体" w:cs="方正小标宋简体"/>
                <w:color w:val="000000"/>
                <w:sz w:val="32"/>
                <w:szCs w:val="32"/>
                <w:vertAlign w:val="baseline"/>
                <w:lang w:val="en-US" w:eastAsia="zh-CN"/>
              </w:rPr>
              <w:t>报价（单位：元）</w:t>
            </w:r>
          </w:p>
        </w:tc>
        <w:tc>
          <w:tcPr>
            <w:tcW w:w="2104" w:type="dxa"/>
            <w:noWrap w:val="0"/>
            <w:vAlign w:val="top"/>
          </w:tcPr>
          <w:p w14:paraId="52BA39E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000000"/>
                <w:sz w:val="32"/>
                <w:szCs w:val="32"/>
                <w:vertAlign w:val="baseline"/>
                <w:lang w:val="en-US" w:eastAsia="zh-CN"/>
              </w:rPr>
            </w:pPr>
            <w:r>
              <w:rPr>
                <w:rFonts w:hint="eastAsia" w:ascii="方正小标宋简体" w:hAnsi="方正小标宋简体" w:eastAsia="方正小标宋简体" w:cs="方正小标宋简体"/>
                <w:color w:val="000000"/>
                <w:sz w:val="32"/>
                <w:szCs w:val="32"/>
                <w:vertAlign w:val="baseline"/>
                <w:lang w:val="en-US" w:eastAsia="zh-CN"/>
              </w:rPr>
              <w:t>备注</w:t>
            </w:r>
          </w:p>
        </w:tc>
      </w:tr>
      <w:tr w14:paraId="5EC3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3762" w:type="dxa"/>
            <w:noWrap w:val="0"/>
            <w:vAlign w:val="center"/>
          </w:tcPr>
          <w:p w14:paraId="69AA37B9">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sz w:val="28"/>
                <w:szCs w:val="28"/>
              </w:rPr>
              <w:t>成都市卫生健康人才交流中心房屋渗漏维修造价咨询服务机构采购项目</w:t>
            </w:r>
          </w:p>
        </w:tc>
        <w:tc>
          <w:tcPr>
            <w:tcW w:w="3195" w:type="dxa"/>
            <w:noWrap w:val="0"/>
            <w:vAlign w:val="center"/>
          </w:tcPr>
          <w:p w14:paraId="430B1A45">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小写：</w:t>
            </w:r>
          </w:p>
          <w:p w14:paraId="513CA9E7">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大写：</w:t>
            </w:r>
          </w:p>
        </w:tc>
        <w:tc>
          <w:tcPr>
            <w:tcW w:w="2104" w:type="dxa"/>
            <w:noWrap w:val="0"/>
            <w:vAlign w:val="center"/>
          </w:tcPr>
          <w:p w14:paraId="1BE463EC">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24"/>
                <w:szCs w:val="24"/>
                <w:vertAlign w:val="baseline"/>
                <w:lang w:val="en-US" w:eastAsia="zh-CN"/>
              </w:rPr>
              <w:t>报价不得超过4000元；报价低于限价60%的，应书面说明原因，若供应商未提供或说明无法证明其合理性，报价部分按0分处理。</w:t>
            </w:r>
          </w:p>
        </w:tc>
      </w:tr>
      <w:tr w14:paraId="2ED7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9061" w:type="dxa"/>
            <w:gridSpan w:val="3"/>
            <w:noWrap w:val="0"/>
            <w:vAlign w:val="center"/>
          </w:tcPr>
          <w:p w14:paraId="288B48AA">
            <w:pPr>
              <w:keepNext w:val="0"/>
              <w:keepLines w:val="0"/>
              <w:pageBreakBefore w:val="0"/>
              <w:widowControl w:val="0"/>
              <w:kinsoku/>
              <w:wordWrap/>
              <w:overflowPunct/>
              <w:topLinePunct w:val="0"/>
              <w:autoSpaceDE/>
              <w:autoSpaceDN/>
              <w:bidi w:val="0"/>
              <w:adjustRightInd/>
              <w:snapToGrid/>
              <w:spacing w:line="579" w:lineRule="exact"/>
              <w:ind w:firstLine="2560" w:firstLineChars="800"/>
              <w:jc w:val="both"/>
              <w:textAlignment w:val="auto"/>
              <w:rPr>
                <w:rFonts w:hint="eastAsia"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eastAsia="zh-CN"/>
              </w:rPr>
              <w:t>合计（元）</w:t>
            </w:r>
            <w:r>
              <w:rPr>
                <w:rFonts w:hint="eastAsia" w:ascii="仿宋_GB2312" w:hAnsi="仿宋_GB2312" w:eastAsia="仿宋_GB2312" w:cs="仿宋_GB2312"/>
                <w:color w:val="000000"/>
                <w:sz w:val="32"/>
                <w:szCs w:val="32"/>
                <w:vertAlign w:val="baseline"/>
                <w:lang w:val="en-US" w:eastAsia="zh-CN"/>
              </w:rPr>
              <w:t xml:space="preserve"> </w:t>
            </w:r>
            <w:r>
              <w:rPr>
                <w:rFonts w:hint="eastAsia" w:ascii="仿宋_GB2312" w:hAnsi="仿宋_GB2312" w:eastAsia="仿宋_GB2312" w:cs="仿宋_GB2312"/>
                <w:color w:val="000000"/>
                <w:sz w:val="32"/>
                <w:szCs w:val="32"/>
                <w:u w:val="single"/>
                <w:vertAlign w:val="baseline"/>
                <w:lang w:val="en-US" w:eastAsia="zh-CN"/>
              </w:rPr>
              <w:t xml:space="preserve">               </w:t>
            </w:r>
          </w:p>
        </w:tc>
      </w:tr>
    </w:tbl>
    <w:p w14:paraId="62371C3F">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color w:val="000000"/>
          <w:sz w:val="32"/>
          <w:szCs w:val="32"/>
          <w:lang w:val="en-US" w:eastAsia="zh-CN"/>
        </w:rPr>
      </w:pPr>
    </w:p>
    <w:p w14:paraId="45E1D783">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color w:val="000000"/>
          <w:sz w:val="32"/>
          <w:szCs w:val="32"/>
          <w:lang w:val="en-US" w:eastAsia="zh-CN"/>
        </w:rPr>
      </w:pPr>
    </w:p>
    <w:p w14:paraId="555D67F5">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投标</w:t>
      </w:r>
      <w:r>
        <w:rPr>
          <w:rFonts w:hint="eastAsia" w:ascii="仿宋_GB2312" w:hAnsi="仿宋_GB2312" w:eastAsia="仿宋_GB2312" w:cs="仿宋_GB2312"/>
          <w:sz w:val="32"/>
          <w:szCs w:val="32"/>
          <w:lang w:val="en-US" w:eastAsia="zh-CN"/>
        </w:rPr>
        <w:t>单位</w:t>
      </w:r>
      <w:r>
        <w:rPr>
          <w:rFonts w:hint="default" w:ascii="仿宋_GB2312" w:hAnsi="仿宋_GB2312" w:eastAsia="仿宋_GB2312" w:cs="仿宋_GB2312"/>
          <w:sz w:val="32"/>
          <w:szCs w:val="32"/>
          <w:lang w:val="en-US" w:eastAsia="zh-CN"/>
        </w:rPr>
        <w:t>（盖章）：</w:t>
      </w:r>
    </w:p>
    <w:p w14:paraId="2825690A">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法定代表人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签名</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p>
    <w:p w14:paraId="7AED72FB">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p>
    <w:p w14:paraId="3C8EC878">
      <w:pPr>
        <w:keepNext w:val="0"/>
        <w:keepLines w:val="0"/>
        <w:pageBreakBefore w:val="0"/>
        <w:widowControl w:val="0"/>
        <w:kinsoku/>
        <w:wordWrap/>
        <w:overflowPunct/>
        <w:topLinePunct w:val="0"/>
        <w:autoSpaceDE/>
        <w:autoSpaceDN/>
        <w:bidi w:val="0"/>
        <w:adjustRightInd/>
        <w:snapToGrid/>
        <w:spacing w:line="579" w:lineRule="exact"/>
        <w:ind w:firstLine="5760" w:firstLineChars="18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年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月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日</w:t>
      </w:r>
    </w:p>
    <w:p w14:paraId="0A94FAD5">
      <w:pPr>
        <w:spacing w:before="320" w:after="120" w:line="288" w:lineRule="auto"/>
        <w:ind w:left="0"/>
        <w:jc w:val="left"/>
        <w:outlineLvl w:val="1"/>
        <w:rPr>
          <w:rFonts w:ascii="Arial" w:hAnsi="Arial" w:eastAsia="等线" w:cs="Arial"/>
          <w:b/>
          <w:sz w:val="32"/>
        </w:rPr>
      </w:pPr>
    </w:p>
    <w:p w14:paraId="4B05A6AB">
      <w:pPr>
        <w:spacing w:before="320" w:after="120" w:line="288" w:lineRule="auto"/>
        <w:ind w:left="0"/>
        <w:jc w:val="left"/>
        <w:outlineLvl w:val="1"/>
        <w:rPr>
          <w:rFonts w:ascii="Arial" w:hAnsi="Arial" w:eastAsia="等线" w:cs="Arial"/>
          <w:b/>
          <w:sz w:val="32"/>
        </w:rPr>
      </w:pPr>
      <w:r>
        <w:rPr>
          <w:rFonts w:ascii="Arial" w:hAnsi="Arial" w:eastAsia="等线" w:cs="Arial"/>
          <w:b/>
          <w:sz w:val="32"/>
        </w:rPr>
        <w:t xml:space="preserve">附件4 </w:t>
      </w:r>
    </w:p>
    <w:bookmarkEnd w:id="3"/>
    <w:p w14:paraId="07F0F16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黑体" w:hAnsi="黑体" w:eastAsia="黑体" w:cs="黑体"/>
          <w:color w:val="000000"/>
          <w:sz w:val="44"/>
          <w:szCs w:val="44"/>
          <w:lang w:val="en-US" w:eastAsia="zh-CN"/>
        </w:rPr>
      </w:pPr>
      <w:r>
        <w:rPr>
          <w:rFonts w:hint="eastAsia" w:ascii="黑体" w:hAnsi="黑体" w:eastAsia="黑体" w:cs="黑体"/>
          <w:color w:val="000000"/>
          <w:sz w:val="44"/>
          <w:szCs w:val="44"/>
          <w:lang w:val="en-US" w:eastAsia="zh-CN"/>
        </w:rPr>
        <w:t>评分标准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658"/>
        <w:gridCol w:w="837"/>
        <w:gridCol w:w="3900"/>
        <w:gridCol w:w="1914"/>
      </w:tblGrid>
      <w:tr w14:paraId="4F27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noWrap w:val="0"/>
            <w:vAlign w:val="center"/>
          </w:tcPr>
          <w:p w14:paraId="6AD06D7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序号</w:t>
            </w:r>
          </w:p>
        </w:tc>
        <w:tc>
          <w:tcPr>
            <w:tcW w:w="1658" w:type="dxa"/>
            <w:noWrap w:val="0"/>
            <w:vAlign w:val="center"/>
          </w:tcPr>
          <w:p w14:paraId="1A14F880">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评分因素及权重</w:t>
            </w:r>
          </w:p>
        </w:tc>
        <w:tc>
          <w:tcPr>
            <w:tcW w:w="837" w:type="dxa"/>
            <w:noWrap w:val="0"/>
            <w:vAlign w:val="center"/>
          </w:tcPr>
          <w:p w14:paraId="7523E207">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分值</w:t>
            </w:r>
          </w:p>
        </w:tc>
        <w:tc>
          <w:tcPr>
            <w:tcW w:w="3900" w:type="dxa"/>
            <w:noWrap w:val="0"/>
            <w:vAlign w:val="center"/>
          </w:tcPr>
          <w:p w14:paraId="44AE0EC7">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default" w:ascii="仿宋_GB2312" w:hAnsi="仿宋_GB2312" w:eastAsia="仿宋_GB2312" w:cs="仿宋_GB2312"/>
                <w:b/>
                <w:bCs/>
                <w:color w:val="000000"/>
                <w:sz w:val="24"/>
                <w:szCs w:val="24"/>
                <w:vertAlign w:val="baseline"/>
                <w:lang w:val="en-US" w:eastAsia="zh-CN"/>
              </w:rPr>
              <w:t>评分标准</w:t>
            </w:r>
          </w:p>
        </w:tc>
        <w:tc>
          <w:tcPr>
            <w:tcW w:w="1914" w:type="dxa"/>
            <w:noWrap w:val="0"/>
            <w:vAlign w:val="center"/>
          </w:tcPr>
          <w:p w14:paraId="3B33812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说明</w:t>
            </w:r>
          </w:p>
        </w:tc>
      </w:tr>
      <w:tr w14:paraId="329B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noWrap w:val="0"/>
            <w:vAlign w:val="center"/>
          </w:tcPr>
          <w:p w14:paraId="07ECE9D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1</w:t>
            </w:r>
          </w:p>
        </w:tc>
        <w:tc>
          <w:tcPr>
            <w:tcW w:w="1658" w:type="dxa"/>
            <w:noWrap w:val="0"/>
            <w:vAlign w:val="center"/>
          </w:tcPr>
          <w:p w14:paraId="17E060B7">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报  价30%</w:t>
            </w:r>
          </w:p>
        </w:tc>
        <w:tc>
          <w:tcPr>
            <w:tcW w:w="837" w:type="dxa"/>
            <w:noWrap w:val="0"/>
            <w:vAlign w:val="center"/>
          </w:tcPr>
          <w:p w14:paraId="36ECE90C">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30分</w:t>
            </w:r>
          </w:p>
        </w:tc>
        <w:tc>
          <w:tcPr>
            <w:tcW w:w="3900" w:type="dxa"/>
            <w:noWrap w:val="0"/>
            <w:vAlign w:val="center"/>
          </w:tcPr>
          <w:p w14:paraId="67B15AE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color w:val="000000"/>
                <w:sz w:val="24"/>
                <w:szCs w:val="24"/>
                <w:vertAlign w:val="baseline"/>
                <w:lang w:val="en-US" w:eastAsia="zh-CN"/>
              </w:rPr>
            </w:pPr>
            <w:r>
              <w:rPr>
                <w:rFonts w:hint="eastAsia" w:ascii="仿宋_GB2312" w:hAnsi="仿宋_GB2312" w:eastAsia="仿宋_GB2312" w:cs="仿宋_GB2312"/>
                <w:b w:val="0"/>
                <w:bCs w:val="0"/>
                <w:color w:val="000000"/>
                <w:sz w:val="24"/>
                <w:szCs w:val="24"/>
                <w:vertAlign w:val="baseline"/>
                <w:lang w:val="en-US" w:eastAsia="zh-CN"/>
              </w:rPr>
              <w:t>以满足采购文件要求且报价最低的供应商报价为基准价，其价格分为满分30分。其他供应商的价格分统一按照下列公式计算：报价得分 = (基准价/供应商最终报价)×30</w:t>
            </w:r>
            <w:r>
              <w:rPr>
                <w:rFonts w:hint="eastAsia" w:ascii="仿宋_GB2312" w:hAnsi="仿宋_GB2312" w:eastAsia="仿宋_GB2312" w:cs="仿宋_GB2312"/>
                <w:color w:val="000000"/>
                <w:sz w:val="24"/>
              </w:rPr>
              <w:t>（计算结果保留小数点后两位）</w:t>
            </w:r>
          </w:p>
        </w:tc>
        <w:tc>
          <w:tcPr>
            <w:tcW w:w="1914" w:type="dxa"/>
            <w:noWrap w:val="0"/>
            <w:vAlign w:val="center"/>
          </w:tcPr>
          <w:p w14:paraId="78EF982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color w:val="000000"/>
                <w:sz w:val="21"/>
                <w:szCs w:val="21"/>
                <w:vertAlign w:val="baseline"/>
                <w:lang w:val="en-US" w:eastAsia="zh-CN"/>
              </w:rPr>
            </w:pPr>
            <w:r>
              <w:rPr>
                <w:rFonts w:hint="eastAsia" w:ascii="仿宋_GB2312" w:hAnsi="仿宋_GB2312" w:eastAsia="仿宋_GB2312" w:cs="仿宋_GB2312"/>
                <w:b w:val="0"/>
                <w:bCs w:val="0"/>
                <w:color w:val="000000"/>
                <w:sz w:val="21"/>
                <w:szCs w:val="21"/>
                <w:vertAlign w:val="baseline"/>
                <w:lang w:val="en-US" w:eastAsia="zh-CN"/>
              </w:rPr>
              <w:t>报价超过最高限价4000元的，响应文件无效;</w:t>
            </w:r>
          </w:p>
          <w:p w14:paraId="77FE77C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color w:val="000000"/>
                <w:sz w:val="21"/>
                <w:szCs w:val="21"/>
                <w:vertAlign w:val="baseline"/>
                <w:lang w:val="en-US" w:eastAsia="zh-CN"/>
              </w:rPr>
            </w:pPr>
            <w:r>
              <w:rPr>
                <w:rFonts w:hint="default" w:ascii="仿宋_GB2312" w:hAnsi="仿宋_GB2312" w:eastAsia="仿宋_GB2312" w:cs="仿宋_GB2312"/>
                <w:color w:val="000000"/>
                <w:sz w:val="21"/>
                <w:szCs w:val="21"/>
              </w:rPr>
              <w:t>报价低于限价60%（即低于</w:t>
            </w:r>
            <w:r>
              <w:rPr>
                <w:rFonts w:hint="eastAsia" w:ascii="仿宋_GB2312" w:hAnsi="仿宋_GB2312" w:eastAsia="仿宋_GB2312" w:cs="仿宋_GB2312"/>
                <w:color w:val="000000"/>
                <w:sz w:val="21"/>
                <w:szCs w:val="21"/>
                <w:lang w:val="en-US" w:eastAsia="zh-CN"/>
              </w:rPr>
              <w:t>2400</w:t>
            </w:r>
            <w:r>
              <w:rPr>
                <w:rFonts w:hint="default" w:ascii="仿宋_GB2312" w:hAnsi="仿宋_GB2312" w:eastAsia="仿宋_GB2312" w:cs="仿宋_GB2312"/>
                <w:color w:val="000000"/>
                <w:sz w:val="21"/>
                <w:szCs w:val="21"/>
              </w:rPr>
              <w:t>元）的，供应商须在报价单中附书面说明，提供成本构成、履约保障等证明材料</w:t>
            </w:r>
            <w:r>
              <w:rPr>
                <w:rFonts w:hint="eastAsia" w:ascii="仿宋_GB2312" w:hAnsi="仿宋_GB2312" w:eastAsia="仿宋_GB2312" w:cs="仿宋_GB2312"/>
                <w:color w:val="000000"/>
                <w:sz w:val="21"/>
                <w:szCs w:val="21"/>
                <w:lang w:eastAsia="zh-CN"/>
              </w:rPr>
              <w:t>，若供应商未提供或说明无法证明其合理性，报价部分按0分处理。</w:t>
            </w:r>
          </w:p>
        </w:tc>
      </w:tr>
      <w:tr w14:paraId="3DD7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noWrap w:val="0"/>
            <w:vAlign w:val="center"/>
          </w:tcPr>
          <w:p w14:paraId="504C24AC">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2</w:t>
            </w:r>
          </w:p>
        </w:tc>
        <w:tc>
          <w:tcPr>
            <w:tcW w:w="1658" w:type="dxa"/>
            <w:noWrap w:val="0"/>
            <w:vAlign w:val="center"/>
          </w:tcPr>
          <w:p w14:paraId="31428C17">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b/>
                <w:bCs/>
                <w:color w:val="000000"/>
                <w:sz w:val="24"/>
                <w:szCs w:val="24"/>
                <w:vertAlign w:val="baseline"/>
                <w:lang w:val="en-US" w:eastAsia="zh-CN"/>
              </w:rPr>
            </w:pPr>
            <w:r>
              <w:rPr>
                <w:rFonts w:hint="default" w:ascii="仿宋_GB2312" w:hAnsi="仿宋_GB2312" w:eastAsia="仿宋_GB2312" w:cs="仿宋_GB2312"/>
                <w:b/>
                <w:bCs/>
                <w:color w:val="000000"/>
                <w:sz w:val="24"/>
                <w:szCs w:val="24"/>
                <w:vertAlign w:val="baseline"/>
                <w:lang w:val="en-US" w:eastAsia="zh-CN"/>
              </w:rPr>
              <w:t>人员配置</w:t>
            </w:r>
            <w:r>
              <w:rPr>
                <w:rFonts w:hint="eastAsia" w:ascii="仿宋_GB2312" w:hAnsi="仿宋_GB2312" w:eastAsia="仿宋_GB2312" w:cs="仿宋_GB2312"/>
                <w:b/>
                <w:bCs/>
                <w:color w:val="000000"/>
                <w:sz w:val="24"/>
                <w:szCs w:val="24"/>
                <w:vertAlign w:val="baseline"/>
                <w:lang w:val="en-US" w:eastAsia="zh-CN"/>
              </w:rPr>
              <w:t>15%</w:t>
            </w:r>
          </w:p>
        </w:tc>
        <w:tc>
          <w:tcPr>
            <w:tcW w:w="837" w:type="dxa"/>
            <w:noWrap w:val="0"/>
            <w:vAlign w:val="center"/>
          </w:tcPr>
          <w:p w14:paraId="0DDC08C1">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15分</w:t>
            </w:r>
          </w:p>
        </w:tc>
        <w:tc>
          <w:tcPr>
            <w:tcW w:w="3900" w:type="dxa"/>
            <w:noWrap w:val="0"/>
            <w:vAlign w:val="center"/>
          </w:tcPr>
          <w:p w14:paraId="28E32F0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⑴负责人：一级造价师得3分；2023年以来有1个≥15万元修缮/改造类负责人业绩得2分，最多4分。</w:t>
            </w:r>
          </w:p>
          <w:p w14:paraId="6110C4A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color w:val="000000"/>
                <w:sz w:val="24"/>
                <w:szCs w:val="24"/>
                <w:vertAlign w:val="baseline"/>
                <w:lang w:val="en-US" w:eastAsia="zh-CN"/>
              </w:rPr>
            </w:pPr>
            <w:r>
              <w:rPr>
                <w:rFonts w:hint="eastAsia" w:ascii="仿宋_GB2312" w:hAnsi="仿宋_GB2312" w:eastAsia="仿宋_GB2312" w:cs="仿宋_GB2312"/>
                <w:color w:val="000000"/>
                <w:sz w:val="24"/>
                <w:lang w:val="en-US" w:eastAsia="zh-CN"/>
              </w:rPr>
              <w:t>⑵团队：满足基本配备（土建、安装各1名二级及以上）后，每增1名一级造价师得2分（最多4分），每增1名安装专业注册造价师得2分（最多4分）。同一人不重复计分。</w:t>
            </w:r>
          </w:p>
        </w:tc>
        <w:tc>
          <w:tcPr>
            <w:tcW w:w="1914" w:type="dxa"/>
            <w:noWrap w:val="0"/>
            <w:vAlign w:val="center"/>
          </w:tcPr>
          <w:p w14:paraId="37C93923">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b w:val="0"/>
                <w:bCs w:val="0"/>
                <w:color w:val="000000"/>
                <w:sz w:val="24"/>
                <w:szCs w:val="24"/>
                <w:vertAlign w:val="baseline"/>
                <w:lang w:val="en-US" w:eastAsia="zh-CN"/>
              </w:rPr>
            </w:pPr>
          </w:p>
        </w:tc>
      </w:tr>
      <w:tr w14:paraId="54F3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749" w:type="dxa"/>
            <w:noWrap w:val="0"/>
            <w:vAlign w:val="center"/>
          </w:tcPr>
          <w:p w14:paraId="3D2D6C2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3</w:t>
            </w:r>
          </w:p>
        </w:tc>
        <w:tc>
          <w:tcPr>
            <w:tcW w:w="1658" w:type="dxa"/>
            <w:noWrap w:val="0"/>
            <w:vAlign w:val="center"/>
          </w:tcPr>
          <w:p w14:paraId="5D812F48">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default" w:ascii="仿宋_GB2312" w:hAnsi="仿宋_GB2312" w:eastAsia="仿宋_GB2312" w:cs="仿宋_GB2312"/>
                <w:b/>
                <w:bCs/>
                <w:color w:val="000000"/>
                <w:sz w:val="24"/>
                <w:szCs w:val="24"/>
                <w:vertAlign w:val="baseline"/>
                <w:lang w:val="en-US" w:eastAsia="zh-CN"/>
              </w:rPr>
              <w:t>履约能力1</w:t>
            </w:r>
            <w:r>
              <w:rPr>
                <w:rFonts w:hint="eastAsia" w:ascii="仿宋_GB2312" w:hAnsi="仿宋_GB2312" w:eastAsia="仿宋_GB2312" w:cs="仿宋_GB2312"/>
                <w:b/>
                <w:bCs/>
                <w:color w:val="000000"/>
                <w:sz w:val="24"/>
                <w:szCs w:val="24"/>
                <w:vertAlign w:val="baseline"/>
                <w:lang w:val="en-US" w:eastAsia="zh-CN"/>
              </w:rPr>
              <w:t>5</w:t>
            </w:r>
            <w:r>
              <w:rPr>
                <w:rFonts w:hint="default" w:ascii="仿宋_GB2312" w:hAnsi="仿宋_GB2312" w:eastAsia="仿宋_GB2312" w:cs="仿宋_GB2312"/>
                <w:b/>
                <w:bCs/>
                <w:color w:val="000000"/>
                <w:sz w:val="24"/>
                <w:szCs w:val="24"/>
                <w:vertAlign w:val="baseline"/>
                <w:lang w:val="en-US" w:eastAsia="zh-CN"/>
              </w:rPr>
              <w:t>%</w:t>
            </w:r>
          </w:p>
        </w:tc>
        <w:tc>
          <w:tcPr>
            <w:tcW w:w="837" w:type="dxa"/>
            <w:noWrap w:val="0"/>
            <w:vAlign w:val="center"/>
          </w:tcPr>
          <w:p w14:paraId="314ED2BF">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15分</w:t>
            </w:r>
          </w:p>
        </w:tc>
        <w:tc>
          <w:tcPr>
            <w:tcW w:w="3900" w:type="dxa"/>
            <w:noWrap w:val="0"/>
            <w:vAlign w:val="center"/>
          </w:tcPr>
          <w:p w14:paraId="051BDCAD">
            <w:pPr>
              <w:keepNext w:val="0"/>
              <w:keepLines w:val="0"/>
              <w:spacing w:line="300" w:lineRule="exact"/>
              <w:jc w:val="left"/>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rPr>
              <w:t>2023年以来修缮/改造类造价咨询业绩：提供1个得5分，每多1个加2分，最高15分。同一项目不同阶段不重复计。</w:t>
            </w:r>
          </w:p>
        </w:tc>
        <w:tc>
          <w:tcPr>
            <w:tcW w:w="1914" w:type="dxa"/>
            <w:noWrap w:val="0"/>
            <w:vAlign w:val="center"/>
          </w:tcPr>
          <w:p w14:paraId="7FFF4EDA">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b w:val="0"/>
                <w:bCs w:val="0"/>
                <w:color w:val="000000"/>
                <w:sz w:val="24"/>
                <w:szCs w:val="24"/>
                <w:vertAlign w:val="baseline"/>
                <w:lang w:val="en-US" w:eastAsia="zh-CN"/>
              </w:rPr>
            </w:pPr>
          </w:p>
        </w:tc>
      </w:tr>
      <w:tr w14:paraId="7B47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9" w:type="dxa"/>
            <w:noWrap w:val="0"/>
            <w:vAlign w:val="center"/>
          </w:tcPr>
          <w:p w14:paraId="23B6F064">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4</w:t>
            </w:r>
          </w:p>
        </w:tc>
        <w:tc>
          <w:tcPr>
            <w:tcW w:w="1658" w:type="dxa"/>
            <w:noWrap w:val="0"/>
            <w:vAlign w:val="center"/>
          </w:tcPr>
          <w:p w14:paraId="676C61D1">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项目实施方案35%</w:t>
            </w:r>
          </w:p>
        </w:tc>
        <w:tc>
          <w:tcPr>
            <w:tcW w:w="837" w:type="dxa"/>
            <w:noWrap w:val="0"/>
            <w:vAlign w:val="center"/>
          </w:tcPr>
          <w:p w14:paraId="6CE88853">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35分</w:t>
            </w:r>
          </w:p>
        </w:tc>
        <w:tc>
          <w:tcPr>
            <w:tcW w:w="3900" w:type="dxa"/>
            <w:noWrap w:val="0"/>
            <w:vAlign w:val="center"/>
          </w:tcPr>
          <w:p w14:paraId="3AA7EC40">
            <w:pPr>
              <w:keepNext w:val="0"/>
              <w:keepLines w:val="0"/>
              <w:spacing w:line="300"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1"/>
                <w:szCs w:val="21"/>
              </w:rPr>
              <w:t>从组织分工（10分）、造价咨询服务方案（15分）、服务保障措施（10分）三方面综合评定，按好（8-10/12-15/8-10）、中（4-7/6-11/4-7）、差（0-3/0-5/0-3）三档打分，取平均分。</w:t>
            </w:r>
          </w:p>
        </w:tc>
        <w:tc>
          <w:tcPr>
            <w:tcW w:w="1914" w:type="dxa"/>
            <w:noWrap w:val="0"/>
            <w:vAlign w:val="center"/>
          </w:tcPr>
          <w:p w14:paraId="77142ED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b w:val="0"/>
                <w:bCs w:val="0"/>
                <w:color w:val="000000"/>
                <w:sz w:val="24"/>
                <w:szCs w:val="24"/>
                <w:vertAlign w:val="baseline"/>
                <w:lang w:val="en-US" w:eastAsia="zh-CN"/>
              </w:rPr>
            </w:pPr>
            <w:r>
              <w:rPr>
                <w:rFonts w:hint="default" w:ascii="仿宋_GB2312" w:hAnsi="仿宋_GB2312" w:eastAsia="仿宋_GB2312" w:cs="仿宋_GB2312"/>
                <w:color w:val="000000"/>
                <w:sz w:val="24"/>
              </w:rPr>
              <w:t>由评审小组根据方案内容的完整性、针对性、可行性独立打分，取平均分。</w:t>
            </w:r>
          </w:p>
        </w:tc>
      </w:tr>
      <w:tr w14:paraId="71AE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noWrap w:val="0"/>
            <w:vAlign w:val="center"/>
          </w:tcPr>
          <w:p w14:paraId="5A211D30">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val="0"/>
                <w:bCs w:val="0"/>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5</w:t>
            </w:r>
          </w:p>
        </w:tc>
        <w:tc>
          <w:tcPr>
            <w:tcW w:w="1658" w:type="dxa"/>
            <w:noWrap w:val="0"/>
            <w:vAlign w:val="center"/>
          </w:tcPr>
          <w:p w14:paraId="4DAB578D">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default" w:ascii="仿宋_GB2312" w:hAnsi="仿宋_GB2312" w:eastAsia="仿宋_GB2312" w:cs="仿宋_GB2312"/>
                <w:b/>
                <w:bCs/>
                <w:color w:val="000000"/>
                <w:sz w:val="24"/>
                <w:szCs w:val="24"/>
                <w:vertAlign w:val="baseline"/>
                <w:lang w:val="en-US" w:eastAsia="zh-CN"/>
              </w:rPr>
              <w:t>投标材料规范性</w:t>
            </w:r>
            <w:r>
              <w:rPr>
                <w:rFonts w:hint="eastAsia" w:ascii="仿宋_GB2312" w:hAnsi="仿宋_GB2312" w:eastAsia="仿宋_GB2312" w:cs="仿宋_GB2312"/>
                <w:b/>
                <w:bCs/>
                <w:color w:val="000000"/>
                <w:sz w:val="24"/>
                <w:szCs w:val="24"/>
                <w:vertAlign w:val="baseline"/>
                <w:lang w:val="en-US" w:eastAsia="zh-CN"/>
              </w:rPr>
              <w:t>5</w:t>
            </w:r>
            <w:r>
              <w:rPr>
                <w:rFonts w:hint="default" w:ascii="仿宋_GB2312" w:hAnsi="仿宋_GB2312" w:eastAsia="仿宋_GB2312" w:cs="仿宋_GB2312"/>
                <w:b/>
                <w:bCs/>
                <w:color w:val="000000"/>
                <w:sz w:val="24"/>
                <w:szCs w:val="24"/>
                <w:vertAlign w:val="baseline"/>
                <w:lang w:val="en-US" w:eastAsia="zh-CN"/>
              </w:rPr>
              <w:t>%</w:t>
            </w:r>
          </w:p>
        </w:tc>
        <w:tc>
          <w:tcPr>
            <w:tcW w:w="837" w:type="dxa"/>
            <w:noWrap w:val="0"/>
            <w:vAlign w:val="center"/>
          </w:tcPr>
          <w:p w14:paraId="6AE17424">
            <w:pPr>
              <w:keepNext w:val="0"/>
              <w:keepLines w:val="0"/>
              <w:pageBreakBefore w:val="0"/>
              <w:widowControl w:val="0"/>
              <w:tabs>
                <w:tab w:val="left" w:pos="250"/>
              </w:tabs>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5分</w:t>
            </w:r>
          </w:p>
        </w:tc>
        <w:tc>
          <w:tcPr>
            <w:tcW w:w="3900" w:type="dxa"/>
            <w:noWrap w:val="0"/>
            <w:vAlign w:val="center"/>
          </w:tcPr>
          <w:p w14:paraId="1DDD657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color w:val="000000"/>
                <w:sz w:val="24"/>
                <w:szCs w:val="24"/>
                <w:vertAlign w:val="baseline"/>
                <w:lang w:val="en-US" w:eastAsia="zh-CN"/>
              </w:rPr>
            </w:pPr>
            <w:r>
              <w:rPr>
                <w:rFonts w:hint="eastAsia" w:ascii="仿宋_GB2312" w:hAnsi="仿宋_GB2312" w:eastAsia="仿宋_GB2312" w:cs="仿宋_GB2312"/>
                <w:sz w:val="24"/>
                <w:szCs w:val="24"/>
              </w:rPr>
              <w:t>材料齐全得3分，每缺1项扣0.5分；装订、签署、密封规范得2分，否则酌情扣0.5-1.5分。</w:t>
            </w:r>
          </w:p>
        </w:tc>
        <w:tc>
          <w:tcPr>
            <w:tcW w:w="1914" w:type="dxa"/>
            <w:noWrap w:val="0"/>
            <w:vAlign w:val="center"/>
          </w:tcPr>
          <w:p w14:paraId="65E5A5A2">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b w:val="0"/>
                <w:bCs w:val="0"/>
                <w:color w:val="000000"/>
                <w:sz w:val="24"/>
                <w:szCs w:val="24"/>
                <w:vertAlign w:val="baseline"/>
                <w:lang w:val="en-US" w:eastAsia="zh-CN"/>
              </w:rPr>
            </w:pPr>
          </w:p>
        </w:tc>
      </w:tr>
    </w:tbl>
    <w:p w14:paraId="683CE55D">
      <w:bookmarkStart w:id="4" w:name="_GoBack"/>
      <w:bookmarkEnd w:id="4"/>
    </w:p>
    <w:sectPr>
      <w:headerReference r:id="rId4" w:type="default"/>
      <w:footerReference r:id="rId5" w:type="default"/>
      <w:pgSz w:w="11905" w:h="16840"/>
      <w:pgMar w:top="2143" w:right="1474" w:bottom="1440"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2820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C3F8C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FC3F8C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FB77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23E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B70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2026-09-02T05:52:01Z</dcterms:created>
  <dc:creator>Administrator</dc:creator>
  <cp:lastModifiedBy>沈</cp:lastModifiedBy>
  <dcterms:modified xsi:type="dcterms:W3CDTF">2026-09-02T05:52:39Z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eyJoZGlkIjoiMjA3YjQ2OGMzNDM5YWY2M2I4YjlkYWM4MDYwYTEyNTMiLCJ1c2VySWQiOiIyODY1NDgwNDkifQ==</vt:lpwstr>
  </property>
  <property fmtid="{D5CDD505-2E9C-101B-9397-08002B2CF9AE}" pid="4" name="ICV">
    <vt:lpwstr>EFB188C3BD1048AF9B6AE241A1F34026_12</vt:lpwstr>
  </property>
</Properties>
</file>